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5C9C" w:rsidRPr="00155C9C" w:rsidRDefault="00155C9C" w:rsidP="00155C9C">
      <w:pPr>
        <w:widowControl/>
        <w:shd w:val="clear" w:color="auto" w:fill="FFFFFF"/>
        <w:jc w:val="center"/>
        <w:rPr>
          <w:rFonts w:ascii="微软雅黑" w:eastAsia="微软雅黑" w:hAnsi="微软雅黑" w:cs="宋体"/>
          <w:color w:val="000000"/>
          <w:kern w:val="0"/>
          <w:sz w:val="36"/>
          <w:szCs w:val="36"/>
        </w:rPr>
      </w:pPr>
      <w:r w:rsidRPr="00155C9C">
        <w:rPr>
          <w:rFonts w:ascii="微软雅黑" w:eastAsia="微软雅黑" w:hAnsi="微软雅黑" w:cs="宋体" w:hint="eastAsia"/>
          <w:color w:val="000000"/>
          <w:kern w:val="0"/>
          <w:sz w:val="36"/>
          <w:szCs w:val="36"/>
        </w:rPr>
        <w:t>省人民政府办公厅关于落实“多规合一” 加强过渡期规划管理工作的意见</w:t>
      </w:r>
    </w:p>
    <w:p w:rsidR="00155C9C" w:rsidRPr="00155C9C" w:rsidRDefault="00155C9C" w:rsidP="00155C9C">
      <w:pPr>
        <w:widowControl/>
        <w:shd w:val="clear" w:color="auto" w:fill="FFFFFF"/>
        <w:spacing w:line="450" w:lineRule="atLeast"/>
        <w:jc w:val="left"/>
        <w:rPr>
          <w:rFonts w:ascii="微软雅黑" w:eastAsia="微软雅黑" w:hAnsi="微软雅黑" w:cs="宋体" w:hint="eastAsia"/>
          <w:color w:val="333333"/>
          <w:kern w:val="0"/>
          <w:szCs w:val="21"/>
        </w:rPr>
      </w:pPr>
      <w:r w:rsidRPr="00155C9C">
        <w:rPr>
          <w:rFonts w:ascii="微软雅黑" w:eastAsia="微软雅黑" w:hAnsi="微软雅黑" w:cs="宋体" w:hint="eastAsia"/>
          <w:color w:val="333333"/>
          <w:kern w:val="0"/>
          <w:szCs w:val="21"/>
        </w:rPr>
        <w:t>各市、自治州人民政府，贵安新区管委会，各县(市、区、特区)人民政府，省政府各部门、各直属机构：</w:t>
      </w:r>
    </w:p>
    <w:p w:rsidR="00155C9C" w:rsidRPr="00155C9C" w:rsidRDefault="00155C9C" w:rsidP="00155C9C">
      <w:pPr>
        <w:widowControl/>
        <w:shd w:val="clear" w:color="auto" w:fill="FFFFFF"/>
        <w:spacing w:line="450" w:lineRule="atLeast"/>
        <w:jc w:val="left"/>
        <w:rPr>
          <w:rFonts w:ascii="微软雅黑" w:eastAsia="微软雅黑" w:hAnsi="微软雅黑" w:cs="宋体" w:hint="eastAsia"/>
          <w:color w:val="333333"/>
          <w:kern w:val="0"/>
          <w:szCs w:val="21"/>
        </w:rPr>
      </w:pPr>
      <w:r w:rsidRPr="00155C9C">
        <w:rPr>
          <w:rFonts w:ascii="微软雅黑" w:eastAsia="微软雅黑" w:hAnsi="微软雅黑" w:cs="宋体" w:hint="eastAsia"/>
          <w:color w:val="333333"/>
          <w:kern w:val="0"/>
          <w:szCs w:val="21"/>
        </w:rPr>
        <w:t xml:space="preserve">　　为守好发展和生态两条底线，助力打好三大攻坚战、推进三大战略行动、建设三大国家级试验区，助推决战脱贫攻坚、决胜同步小康和经济高质量发展，经省人民政府领导同志同意，现就2020年底</w:t>
      </w:r>
      <w:bookmarkStart w:id="0" w:name="_GoBack"/>
      <w:bookmarkEnd w:id="0"/>
      <w:r w:rsidRPr="00155C9C">
        <w:rPr>
          <w:rFonts w:ascii="微软雅黑" w:eastAsia="微软雅黑" w:hAnsi="微软雅黑" w:cs="宋体" w:hint="eastAsia"/>
          <w:color w:val="333333"/>
          <w:kern w:val="0"/>
          <w:szCs w:val="21"/>
        </w:rPr>
        <w:t>前落实“多规合一”加强过渡期规划管理工作提出如下意见。</w:t>
      </w:r>
    </w:p>
    <w:p w:rsidR="00155C9C" w:rsidRPr="00155C9C" w:rsidRDefault="00155C9C" w:rsidP="00155C9C">
      <w:pPr>
        <w:widowControl/>
        <w:shd w:val="clear" w:color="auto" w:fill="FFFFFF"/>
        <w:spacing w:line="450" w:lineRule="atLeast"/>
        <w:jc w:val="left"/>
        <w:rPr>
          <w:rFonts w:ascii="微软雅黑" w:eastAsia="微软雅黑" w:hAnsi="微软雅黑" w:cs="宋体" w:hint="eastAsia"/>
          <w:color w:val="333333"/>
          <w:kern w:val="0"/>
          <w:szCs w:val="21"/>
        </w:rPr>
      </w:pPr>
      <w:r w:rsidRPr="00155C9C">
        <w:rPr>
          <w:rFonts w:ascii="微软雅黑" w:eastAsia="微软雅黑" w:hAnsi="微软雅黑" w:cs="宋体" w:hint="eastAsia"/>
          <w:color w:val="333333"/>
          <w:kern w:val="0"/>
          <w:szCs w:val="21"/>
        </w:rPr>
        <w:t xml:space="preserve">　　一、切实贯彻落实“多规合一”要求。各地各有关部门要坚持底线思维，落实新发展理念，推进规划重构性改革，加快建立国土空间规划体系并监督实施。统筹整合主体功能区、土地利用、城乡建设、生态环境等各类空间规划，优化城镇、农业、生态空间布局，划定生态保护红线、永久基本农田、城镇开发边界三条控制线，加快构建“多规合一”的一张蓝图和管理平台。依托工程建设项目审批管理系统，加强“多规合一”业务协同，精简审批环节，规范审批内容，提高审批效能。到2020年底前，在土地利用总体规划、城市(县城)总体规划(以下统称两</w:t>
      </w:r>
      <w:proofErr w:type="gramStart"/>
      <w:r w:rsidRPr="00155C9C">
        <w:rPr>
          <w:rFonts w:ascii="微软雅黑" w:eastAsia="微软雅黑" w:hAnsi="微软雅黑" w:cs="宋体" w:hint="eastAsia"/>
          <w:color w:val="333333"/>
          <w:kern w:val="0"/>
          <w:szCs w:val="21"/>
        </w:rPr>
        <w:t>规</w:t>
      </w:r>
      <w:proofErr w:type="gramEnd"/>
      <w:r w:rsidRPr="00155C9C">
        <w:rPr>
          <w:rFonts w:ascii="微软雅黑" w:eastAsia="微软雅黑" w:hAnsi="微软雅黑" w:cs="宋体" w:hint="eastAsia"/>
          <w:color w:val="333333"/>
          <w:kern w:val="0"/>
          <w:szCs w:val="21"/>
        </w:rPr>
        <w:t>)实施过程中，确保“两规”建设规模和用地布局衔接一致，“两规”融合存在冲突的，可开展相应规划的修改工作。</w:t>
      </w:r>
    </w:p>
    <w:p w:rsidR="00155C9C" w:rsidRPr="00155C9C" w:rsidRDefault="00155C9C" w:rsidP="00155C9C">
      <w:pPr>
        <w:widowControl/>
        <w:shd w:val="clear" w:color="auto" w:fill="FFFFFF"/>
        <w:spacing w:line="450" w:lineRule="atLeast"/>
        <w:jc w:val="left"/>
        <w:rPr>
          <w:rFonts w:ascii="微软雅黑" w:eastAsia="微软雅黑" w:hAnsi="微软雅黑" w:cs="宋体" w:hint="eastAsia"/>
          <w:color w:val="333333"/>
          <w:kern w:val="0"/>
          <w:szCs w:val="21"/>
        </w:rPr>
      </w:pPr>
      <w:r w:rsidRPr="00155C9C">
        <w:rPr>
          <w:rFonts w:ascii="微软雅黑" w:eastAsia="微软雅黑" w:hAnsi="微软雅黑" w:cs="宋体" w:hint="eastAsia"/>
          <w:color w:val="333333"/>
          <w:kern w:val="0"/>
          <w:szCs w:val="21"/>
        </w:rPr>
        <w:t xml:space="preserve">　　二、切实发挥规划统筹协调作用。各地各有关部门要加强“两规”实施评估，统筹协调区域内规划建设、用地效益、发展质量等工作。现状建设用地超过规划建设用地规模的，要在评估报告中制定落实规划目标年建设用地规模的措施，通过实施增减挂钩、工矿废弃地复垦、现状核实等方式解决。县级规划建设用地规模不足的，市级可在所辖范围内统筹调剂，促进建设空间的优化配置、精准投放。省级及以上能源、交通、水利等重大基础设施项目用地，所在地规划建设用地规模不足的，由省级统筹协调解决。</w:t>
      </w:r>
    </w:p>
    <w:p w:rsidR="00155C9C" w:rsidRPr="00155C9C" w:rsidRDefault="00155C9C" w:rsidP="00155C9C">
      <w:pPr>
        <w:widowControl/>
        <w:shd w:val="clear" w:color="auto" w:fill="FFFFFF"/>
        <w:spacing w:line="450" w:lineRule="atLeast"/>
        <w:jc w:val="left"/>
        <w:rPr>
          <w:rFonts w:ascii="微软雅黑" w:eastAsia="微软雅黑" w:hAnsi="微软雅黑" w:cs="宋体" w:hint="eastAsia"/>
          <w:color w:val="333333"/>
          <w:kern w:val="0"/>
          <w:szCs w:val="21"/>
        </w:rPr>
      </w:pPr>
      <w:r w:rsidRPr="00155C9C">
        <w:rPr>
          <w:rFonts w:ascii="微软雅黑" w:eastAsia="微软雅黑" w:hAnsi="微软雅黑" w:cs="宋体" w:hint="eastAsia"/>
          <w:color w:val="333333"/>
          <w:kern w:val="0"/>
          <w:szCs w:val="21"/>
        </w:rPr>
        <w:lastRenderedPageBreak/>
        <w:t xml:space="preserve">　　三、切实规范土地利用总体规划修改工作。各地各有关部门在不突破规划建设用地规模的前提下，根据脱贫攻坚、重大项目建设、民生发展等需要，按照《土地利用总体规划管理办法》等国家相关法律法规及我省相关规定，可以进行布局调整、规划修改并上报审批。在规划修改过程中，要做好“两规”和生态保护红线衔接工作，做好规划修改方案征求意见、听证、论证工作。布局调整、规划修改方案经批准后，成果应纳入贵州省自然资源云“一张图”中，作为建设用地报批的规划审查依据，并及时报自然资源部备案。</w:t>
      </w:r>
    </w:p>
    <w:p w:rsidR="00155C9C" w:rsidRPr="00155C9C" w:rsidRDefault="00155C9C" w:rsidP="00155C9C">
      <w:pPr>
        <w:widowControl/>
        <w:shd w:val="clear" w:color="auto" w:fill="FFFFFF"/>
        <w:spacing w:line="450" w:lineRule="atLeast"/>
        <w:jc w:val="left"/>
        <w:rPr>
          <w:rFonts w:ascii="微软雅黑" w:eastAsia="微软雅黑" w:hAnsi="微软雅黑" w:cs="宋体" w:hint="eastAsia"/>
          <w:color w:val="333333"/>
          <w:kern w:val="0"/>
          <w:szCs w:val="21"/>
        </w:rPr>
      </w:pPr>
      <w:r w:rsidRPr="00155C9C">
        <w:rPr>
          <w:rFonts w:ascii="微软雅黑" w:eastAsia="微软雅黑" w:hAnsi="微软雅黑" w:cs="宋体" w:hint="eastAsia"/>
          <w:color w:val="333333"/>
          <w:kern w:val="0"/>
          <w:szCs w:val="21"/>
        </w:rPr>
        <w:t xml:space="preserve">　　四、切实提高城市(县城)总体规划修改效率。各地各有关部门确需修改城市(县城)总体规划的，要依法依规、突出重点、优化程序、提高效率，满足2020年底前经济社会发展</w:t>
      </w:r>
      <w:proofErr w:type="gramStart"/>
      <w:r w:rsidRPr="00155C9C">
        <w:rPr>
          <w:rFonts w:ascii="微软雅黑" w:eastAsia="微软雅黑" w:hAnsi="微软雅黑" w:cs="宋体" w:hint="eastAsia"/>
          <w:color w:val="333333"/>
          <w:kern w:val="0"/>
          <w:szCs w:val="21"/>
        </w:rPr>
        <w:t>中空间</w:t>
      </w:r>
      <w:proofErr w:type="gramEnd"/>
      <w:r w:rsidRPr="00155C9C">
        <w:rPr>
          <w:rFonts w:ascii="微软雅黑" w:eastAsia="微软雅黑" w:hAnsi="微软雅黑" w:cs="宋体" w:hint="eastAsia"/>
          <w:color w:val="333333"/>
          <w:kern w:val="0"/>
          <w:szCs w:val="21"/>
        </w:rPr>
        <w:t>布局优化调整的需要，确保“两规”建设规模和用地布局的衔接一致。要按照《贵州省城乡规划修改审查报批工作规则》《贵州省城市(县城)总体规划修订工作规程》规定的工作程序和界定范畴，采取替换条文、规划图纸和附注说明的方式形成规划修订成果。在规划修改过程中，可采取评估报告与修订方案同步编制，各级技术审查可协同开展，规划批前公示与同级人大常委会审议同步进行的方式，变串联工作流程为并联工作流程，最大限度压缩规划修改认定、审查、报批工作时限。为进一步贯彻落实《城乡规划法》，深化“放管服”改革，提高规划时效性，城市(含省直管县)总体规划报省人民政府审批，县城总体规划报所在市(州)人民政府严格依法依规审批，修改的城市(县城)总体规划要在2019年12月底前完成报批工作。城镇总体规划修改参照执行。</w:t>
      </w:r>
    </w:p>
    <w:p w:rsidR="00155C9C" w:rsidRPr="00155C9C" w:rsidRDefault="00155C9C" w:rsidP="00155C9C">
      <w:pPr>
        <w:widowControl/>
        <w:shd w:val="clear" w:color="auto" w:fill="FFFFFF"/>
        <w:spacing w:line="450" w:lineRule="atLeast"/>
        <w:jc w:val="left"/>
        <w:rPr>
          <w:rFonts w:ascii="微软雅黑" w:eastAsia="微软雅黑" w:hAnsi="微软雅黑" w:cs="宋体" w:hint="eastAsia"/>
          <w:color w:val="333333"/>
          <w:kern w:val="0"/>
          <w:szCs w:val="21"/>
        </w:rPr>
      </w:pPr>
      <w:r w:rsidRPr="00155C9C">
        <w:rPr>
          <w:rFonts w:ascii="微软雅黑" w:eastAsia="微软雅黑" w:hAnsi="微软雅黑" w:cs="宋体" w:hint="eastAsia"/>
          <w:color w:val="333333"/>
          <w:kern w:val="0"/>
          <w:szCs w:val="21"/>
        </w:rPr>
        <w:t xml:space="preserve">　　五、切实保障重大建设项目落地。各地各有关部门要强化服务意识，提前介入，精心指导项目生成和规划选址工作，认真做好工程建设项目用地预审和土地出让等工作，切实保障重大基础设施、脱贫攻坚、产业发展、民生保障、十大千亿级工业产业及“补短板、强基础、稳投资”等建设项目落地。经国务院或省政府及其投资主管部门批准的能源、交通、水利、矿山、军事设施等重大工程建设项目，确需修改土地利用总体规划的，用地预审中按规定编</w:t>
      </w:r>
      <w:r w:rsidRPr="00155C9C">
        <w:rPr>
          <w:rFonts w:ascii="微软雅黑" w:eastAsia="微软雅黑" w:hAnsi="微软雅黑" w:cs="宋体" w:hint="eastAsia"/>
          <w:color w:val="333333"/>
          <w:kern w:val="0"/>
          <w:szCs w:val="21"/>
        </w:rPr>
        <w:lastRenderedPageBreak/>
        <w:t>制提交规划修改方案，用地报批前完成征求意见、听证、论证等，材料随同建设用地报件一并报批。涉及占用永久基本农田的，按照《自然资源部关于做好占用永久基本农田重大建设项目用地预审的通知》(自然资</w:t>
      </w:r>
      <w:proofErr w:type="gramStart"/>
      <w:r w:rsidRPr="00155C9C">
        <w:rPr>
          <w:rFonts w:ascii="微软雅黑" w:eastAsia="微软雅黑" w:hAnsi="微软雅黑" w:cs="宋体" w:hint="eastAsia"/>
          <w:color w:val="333333"/>
          <w:kern w:val="0"/>
          <w:szCs w:val="21"/>
        </w:rPr>
        <w:t>规</w:t>
      </w:r>
      <w:proofErr w:type="gramEnd"/>
      <w:r w:rsidRPr="00155C9C">
        <w:rPr>
          <w:rFonts w:ascii="微软雅黑" w:eastAsia="微软雅黑" w:hAnsi="微软雅黑" w:cs="宋体" w:hint="eastAsia"/>
          <w:color w:val="333333"/>
          <w:kern w:val="0"/>
          <w:szCs w:val="21"/>
        </w:rPr>
        <w:t>〔2018〕3号)规定办理。</w:t>
      </w:r>
    </w:p>
    <w:p w:rsidR="00155C9C" w:rsidRPr="00155C9C" w:rsidRDefault="00155C9C" w:rsidP="00155C9C">
      <w:pPr>
        <w:widowControl/>
        <w:shd w:val="clear" w:color="auto" w:fill="FFFFFF"/>
        <w:spacing w:line="450" w:lineRule="atLeast"/>
        <w:jc w:val="left"/>
        <w:rPr>
          <w:rFonts w:ascii="微软雅黑" w:eastAsia="微软雅黑" w:hAnsi="微软雅黑" w:cs="宋体" w:hint="eastAsia"/>
          <w:color w:val="333333"/>
          <w:kern w:val="0"/>
          <w:szCs w:val="21"/>
        </w:rPr>
      </w:pPr>
      <w:r w:rsidRPr="00155C9C">
        <w:rPr>
          <w:rFonts w:ascii="微软雅黑" w:eastAsia="微软雅黑" w:hAnsi="微软雅黑" w:cs="宋体" w:hint="eastAsia"/>
          <w:color w:val="333333"/>
          <w:kern w:val="0"/>
          <w:szCs w:val="21"/>
        </w:rPr>
        <w:t xml:space="preserve">　　六、切实加大脱贫攻坚支持力度。各地各有关部门要对深度贫困县(含锦屏县、罗甸县)的基础设施、易地扶贫搬迁、民生发展等项目建设用地应保尽保。可在城乡建设用地规模总量控制的基础上，适时优化城乡用地结构和布局，编制土地利用总体规划调整、修改方案并报批。建设用地规模指标不足的，省级统筹协调解决。涉及农用地转用和土地征收的，在做好补偿安置前提下，可以边建设边报批，涉及占用耕地的</w:t>
      </w:r>
      <w:proofErr w:type="gramStart"/>
      <w:r w:rsidRPr="00155C9C">
        <w:rPr>
          <w:rFonts w:ascii="微软雅黑" w:eastAsia="微软雅黑" w:hAnsi="微软雅黑" w:cs="宋体" w:hint="eastAsia"/>
          <w:color w:val="333333"/>
          <w:kern w:val="0"/>
          <w:szCs w:val="21"/>
        </w:rPr>
        <w:t>允许边占边</w:t>
      </w:r>
      <w:proofErr w:type="gramEnd"/>
      <w:r w:rsidRPr="00155C9C">
        <w:rPr>
          <w:rFonts w:ascii="微软雅黑" w:eastAsia="微软雅黑" w:hAnsi="微软雅黑" w:cs="宋体" w:hint="eastAsia"/>
          <w:color w:val="333333"/>
          <w:kern w:val="0"/>
          <w:szCs w:val="21"/>
        </w:rPr>
        <w:t>补。深度贫困地区、集中连片特困地区、国家扶贫开发工作重点县的省级以下基础设施、易地扶贫搬迁、民生发展等项目建设，确实难以避让永久基本农田的，由省自然资源</w:t>
      </w:r>
      <w:proofErr w:type="gramStart"/>
      <w:r w:rsidRPr="00155C9C">
        <w:rPr>
          <w:rFonts w:ascii="微软雅黑" w:eastAsia="微软雅黑" w:hAnsi="微软雅黑" w:cs="宋体" w:hint="eastAsia"/>
          <w:color w:val="333333"/>
          <w:kern w:val="0"/>
          <w:szCs w:val="21"/>
        </w:rPr>
        <w:t>厅办理</w:t>
      </w:r>
      <w:proofErr w:type="gramEnd"/>
      <w:r w:rsidRPr="00155C9C">
        <w:rPr>
          <w:rFonts w:ascii="微软雅黑" w:eastAsia="微软雅黑" w:hAnsi="微软雅黑" w:cs="宋体" w:hint="eastAsia"/>
          <w:color w:val="333333"/>
          <w:kern w:val="0"/>
          <w:szCs w:val="21"/>
        </w:rPr>
        <w:t>用地预审，并按照规定办理农用地转用和土地征收。</w:t>
      </w:r>
    </w:p>
    <w:p w:rsidR="00155C9C" w:rsidRPr="00155C9C" w:rsidRDefault="00155C9C" w:rsidP="00155C9C">
      <w:pPr>
        <w:widowControl/>
        <w:shd w:val="clear" w:color="auto" w:fill="FFFFFF"/>
        <w:spacing w:line="450" w:lineRule="atLeast"/>
        <w:jc w:val="left"/>
        <w:rPr>
          <w:rFonts w:ascii="微软雅黑" w:eastAsia="微软雅黑" w:hAnsi="微软雅黑" w:cs="宋体" w:hint="eastAsia"/>
          <w:color w:val="333333"/>
          <w:kern w:val="0"/>
          <w:szCs w:val="21"/>
        </w:rPr>
      </w:pPr>
      <w:r w:rsidRPr="00155C9C">
        <w:rPr>
          <w:rFonts w:ascii="微软雅黑" w:eastAsia="微软雅黑" w:hAnsi="微软雅黑" w:cs="宋体" w:hint="eastAsia"/>
          <w:color w:val="333333"/>
          <w:kern w:val="0"/>
          <w:szCs w:val="21"/>
        </w:rPr>
        <w:t xml:space="preserve">　　七、切实助推乡村振兴战略实施。各地各有关部门要进一步完善县域村庄布局规划，支持有条件的地区优化提升“多规合一”的实用性村庄规划。农村存量建设用地不足、人均建设用地面积少的，可由县(市、区、特区)统筹开展乡(镇)土地利用总体规划修改，统筹农业农村各项土地利用活动。在不突破建设用地规模的前提下，优化耕地保护、生态保护、传统村落保护、村庄建设、产业发展等用地布局，支持农村新产业新业态发展。乡(镇)土地利用总体规划可以预留</w:t>
      </w:r>
      <w:proofErr w:type="gramStart"/>
      <w:r w:rsidRPr="00155C9C">
        <w:rPr>
          <w:rFonts w:ascii="微软雅黑" w:eastAsia="微软雅黑" w:hAnsi="微软雅黑" w:cs="宋体" w:hint="eastAsia"/>
          <w:color w:val="333333"/>
          <w:kern w:val="0"/>
          <w:szCs w:val="21"/>
        </w:rPr>
        <w:t>少量(</w:t>
      </w:r>
      <w:proofErr w:type="gramEnd"/>
      <w:r w:rsidRPr="00155C9C">
        <w:rPr>
          <w:rFonts w:ascii="微软雅黑" w:eastAsia="微软雅黑" w:hAnsi="微软雅黑" w:cs="宋体" w:hint="eastAsia"/>
          <w:color w:val="333333"/>
          <w:kern w:val="0"/>
          <w:szCs w:val="21"/>
        </w:rPr>
        <w:t>不超过5%)规划建设用地指标，用于零星分散的农业设施、乡村旅游设施、康养设施等项目建设，项目用地按审批权限审批，选址不得占用永久基本农田和生态保护红线及其他禁止开发区，不得进行房地产开发和建设别墅、私家庄园、私人会所等项目。</w:t>
      </w:r>
    </w:p>
    <w:p w:rsidR="00155C9C" w:rsidRPr="00155C9C" w:rsidRDefault="00155C9C" w:rsidP="00155C9C">
      <w:pPr>
        <w:widowControl/>
        <w:shd w:val="clear" w:color="auto" w:fill="FFFFFF"/>
        <w:spacing w:line="450" w:lineRule="atLeast"/>
        <w:jc w:val="left"/>
        <w:rPr>
          <w:rFonts w:ascii="微软雅黑" w:eastAsia="微软雅黑" w:hAnsi="微软雅黑" w:cs="宋体" w:hint="eastAsia"/>
          <w:color w:val="333333"/>
          <w:kern w:val="0"/>
          <w:szCs w:val="21"/>
        </w:rPr>
      </w:pPr>
      <w:r w:rsidRPr="00155C9C">
        <w:rPr>
          <w:rFonts w:ascii="微软雅黑" w:eastAsia="微软雅黑" w:hAnsi="微软雅黑" w:cs="宋体" w:hint="eastAsia"/>
          <w:color w:val="333333"/>
          <w:kern w:val="0"/>
          <w:szCs w:val="21"/>
        </w:rPr>
        <w:t xml:space="preserve">　　八、切实提高建设用地保障能力。各地各有关部门要按照“严控总量、限制增量、盘活存量”的原则，多</w:t>
      </w:r>
      <w:proofErr w:type="gramStart"/>
      <w:r w:rsidRPr="00155C9C">
        <w:rPr>
          <w:rFonts w:ascii="微软雅黑" w:eastAsia="微软雅黑" w:hAnsi="微软雅黑" w:cs="宋体" w:hint="eastAsia"/>
          <w:color w:val="333333"/>
          <w:kern w:val="0"/>
          <w:szCs w:val="21"/>
        </w:rPr>
        <w:t>措</w:t>
      </w:r>
      <w:proofErr w:type="gramEnd"/>
      <w:r w:rsidRPr="00155C9C">
        <w:rPr>
          <w:rFonts w:ascii="微软雅黑" w:eastAsia="微软雅黑" w:hAnsi="微软雅黑" w:cs="宋体" w:hint="eastAsia"/>
          <w:color w:val="333333"/>
          <w:kern w:val="0"/>
          <w:szCs w:val="21"/>
        </w:rPr>
        <w:t>并举做好用地保障工作。要提高节约集约用地水平，精细化申报项目用</w:t>
      </w:r>
      <w:r w:rsidRPr="00155C9C">
        <w:rPr>
          <w:rFonts w:ascii="微软雅黑" w:eastAsia="微软雅黑" w:hAnsi="微软雅黑" w:cs="宋体" w:hint="eastAsia"/>
          <w:color w:val="333333"/>
          <w:kern w:val="0"/>
          <w:szCs w:val="21"/>
        </w:rPr>
        <w:lastRenderedPageBreak/>
        <w:t>地。要加强批而未供、闲置土地监管，加大清理处置力度。要用好用足用活增存挂钩、增减挂钩、低效用地再开发利用等政策措施。增存挂钩腾退出的建设用地规模、增减挂钩节余指标等可作为规划建设用地规模，用于建设用地报批和规划修改。根据2017年国家发布的《土地利用分类标准》将水库水面按农用地归类后，腾退出来的建设用地规模用于保障能源、交通、水利等重大基础设施项目和深度贫困县重大项目以及报国务院批准用地重大工程项目的用地需求。加大增减挂钩及工矿废弃地复垦工作力度，已完成</w:t>
      </w:r>
      <w:proofErr w:type="gramStart"/>
      <w:r w:rsidRPr="00155C9C">
        <w:rPr>
          <w:rFonts w:ascii="微软雅黑" w:eastAsia="微软雅黑" w:hAnsi="微软雅黑" w:cs="宋体" w:hint="eastAsia"/>
          <w:color w:val="333333"/>
          <w:kern w:val="0"/>
          <w:szCs w:val="21"/>
        </w:rPr>
        <w:t>复垦复绿的</w:t>
      </w:r>
      <w:proofErr w:type="gramEnd"/>
      <w:r w:rsidRPr="00155C9C">
        <w:rPr>
          <w:rFonts w:ascii="微软雅黑" w:eastAsia="微软雅黑" w:hAnsi="微软雅黑" w:cs="宋体" w:hint="eastAsia"/>
          <w:color w:val="333333"/>
          <w:kern w:val="0"/>
          <w:szCs w:val="21"/>
        </w:rPr>
        <w:t>，要认真核查、及时验收、系统报备，并在当年度土地变更调查中进行变更，据实反映土地利用现状。</w:t>
      </w:r>
    </w:p>
    <w:p w:rsidR="00155C9C" w:rsidRPr="00155C9C" w:rsidRDefault="00155C9C" w:rsidP="00155C9C">
      <w:pPr>
        <w:widowControl/>
        <w:shd w:val="clear" w:color="auto" w:fill="FFFFFF"/>
        <w:spacing w:line="450" w:lineRule="atLeast"/>
        <w:jc w:val="left"/>
        <w:rPr>
          <w:rFonts w:ascii="微软雅黑" w:eastAsia="微软雅黑" w:hAnsi="微软雅黑" w:cs="宋体" w:hint="eastAsia"/>
          <w:color w:val="333333"/>
          <w:kern w:val="0"/>
          <w:szCs w:val="21"/>
        </w:rPr>
      </w:pPr>
      <w:r w:rsidRPr="00155C9C">
        <w:rPr>
          <w:rFonts w:ascii="微软雅黑" w:eastAsia="微软雅黑" w:hAnsi="微软雅黑" w:cs="宋体" w:hint="eastAsia"/>
          <w:color w:val="333333"/>
          <w:kern w:val="0"/>
          <w:szCs w:val="21"/>
        </w:rPr>
        <w:t xml:space="preserve">　　九、切实加强规划督察执法监管。各地各有关部门要加大规划督察和执法力度，层层压实责任，强化党政同责。要全面开展清理排查和自查自纠，严格落实督察整改要求，对照问题清单，建立</w:t>
      </w:r>
      <w:proofErr w:type="gramStart"/>
      <w:r w:rsidRPr="00155C9C">
        <w:rPr>
          <w:rFonts w:ascii="微软雅黑" w:eastAsia="微软雅黑" w:hAnsi="微软雅黑" w:cs="宋体" w:hint="eastAsia"/>
          <w:color w:val="333333"/>
          <w:kern w:val="0"/>
          <w:szCs w:val="21"/>
        </w:rPr>
        <w:t>整改台</w:t>
      </w:r>
      <w:proofErr w:type="gramEnd"/>
      <w:r w:rsidRPr="00155C9C">
        <w:rPr>
          <w:rFonts w:ascii="微软雅黑" w:eastAsia="微软雅黑" w:hAnsi="微软雅黑" w:cs="宋体" w:hint="eastAsia"/>
          <w:color w:val="333333"/>
          <w:kern w:val="0"/>
          <w:szCs w:val="21"/>
        </w:rPr>
        <w:t>账，细化整改措施，明确整改时限，落实整改责任，确保整改到位。要按照“源头严防、过程严管、后果严惩”要求和属地管理原则，强化规划监管，对违法违规行为通过立案查处、挂牌督办、公开通报等方式，严肃查处并追责问责。</w:t>
      </w:r>
    </w:p>
    <w:p w:rsidR="00155C9C" w:rsidRPr="00155C9C" w:rsidRDefault="00155C9C" w:rsidP="00155C9C">
      <w:pPr>
        <w:widowControl/>
        <w:shd w:val="clear" w:color="auto" w:fill="FFFFFF"/>
        <w:spacing w:line="450" w:lineRule="atLeast"/>
        <w:jc w:val="left"/>
        <w:rPr>
          <w:rFonts w:ascii="微软雅黑" w:eastAsia="微软雅黑" w:hAnsi="微软雅黑" w:cs="宋体" w:hint="eastAsia"/>
          <w:color w:val="333333"/>
          <w:kern w:val="0"/>
          <w:szCs w:val="21"/>
        </w:rPr>
      </w:pPr>
      <w:r w:rsidRPr="00155C9C">
        <w:rPr>
          <w:rFonts w:ascii="微软雅黑" w:eastAsia="微软雅黑" w:hAnsi="微软雅黑" w:cs="宋体" w:hint="eastAsia"/>
          <w:color w:val="333333"/>
          <w:kern w:val="0"/>
          <w:szCs w:val="21"/>
        </w:rPr>
        <w:t xml:space="preserve">　　十、切实落实用地指标奖惩措施。各地各有关部门要主动作为、实干争先，用好“五步工作法”，加强政策学习和业务培训，不断提高规划管理水平。省自然资源厅要做好新增建设用地计划指标与规划实施、低效用地、违法用地挂钩联动安排。对规划实施好、节约集约用地的地区，在新增建设用地计划指标上予以倾斜;对突破规划建设用地规模、拆旧复垦不到位、“批而未征、征而未供、供而未用”问题突出的地区，原则上不予安排新增建设用地计划指标;对违法违规用地问题突出且处置不力的地区，不予安排或扣减新增建设用地计划指标。</w:t>
      </w:r>
    </w:p>
    <w:p w:rsidR="00155C9C" w:rsidRPr="00155C9C" w:rsidRDefault="00155C9C" w:rsidP="00155C9C">
      <w:pPr>
        <w:widowControl/>
        <w:shd w:val="clear" w:color="auto" w:fill="FFFFFF"/>
        <w:spacing w:line="450" w:lineRule="atLeast"/>
        <w:jc w:val="right"/>
        <w:rPr>
          <w:rFonts w:ascii="微软雅黑" w:eastAsia="微软雅黑" w:hAnsi="微软雅黑" w:cs="宋体" w:hint="eastAsia"/>
          <w:color w:val="333333"/>
          <w:kern w:val="0"/>
          <w:szCs w:val="21"/>
        </w:rPr>
      </w:pPr>
      <w:r w:rsidRPr="00155C9C">
        <w:rPr>
          <w:rFonts w:ascii="微软雅黑" w:eastAsia="微软雅黑" w:hAnsi="微软雅黑" w:cs="宋体" w:hint="eastAsia"/>
          <w:color w:val="333333"/>
          <w:kern w:val="0"/>
          <w:szCs w:val="21"/>
        </w:rPr>
        <w:t xml:space="preserve">　　贵州省人民政府办公厅</w:t>
      </w:r>
    </w:p>
    <w:p w:rsidR="00155C9C" w:rsidRPr="00155C9C" w:rsidRDefault="00155C9C" w:rsidP="00155C9C">
      <w:pPr>
        <w:widowControl/>
        <w:shd w:val="clear" w:color="auto" w:fill="FFFFFF"/>
        <w:spacing w:line="450" w:lineRule="atLeast"/>
        <w:jc w:val="right"/>
        <w:rPr>
          <w:rFonts w:ascii="微软雅黑" w:eastAsia="微软雅黑" w:hAnsi="微软雅黑" w:cs="宋体" w:hint="eastAsia"/>
          <w:color w:val="333333"/>
          <w:kern w:val="0"/>
          <w:szCs w:val="21"/>
        </w:rPr>
      </w:pPr>
      <w:r w:rsidRPr="00155C9C">
        <w:rPr>
          <w:rFonts w:ascii="微软雅黑" w:eastAsia="微软雅黑" w:hAnsi="微软雅黑" w:cs="宋体" w:hint="eastAsia"/>
          <w:color w:val="333333"/>
          <w:kern w:val="0"/>
          <w:szCs w:val="21"/>
        </w:rPr>
        <w:t xml:space="preserve">　　2019年5月17日</w:t>
      </w:r>
    </w:p>
    <w:p w:rsidR="007B06A0" w:rsidRPr="00155C9C" w:rsidRDefault="00155C9C"/>
    <w:sectPr w:rsidR="007B06A0" w:rsidRPr="00155C9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5C9C"/>
    <w:rsid w:val="00155C9C"/>
    <w:rsid w:val="00204956"/>
    <w:rsid w:val="00F672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155C9C"/>
  </w:style>
  <w:style w:type="character" w:customStyle="1" w:styleId="smallfont">
    <w:name w:val="smallfont"/>
    <w:basedOn w:val="a0"/>
    <w:rsid w:val="00155C9C"/>
  </w:style>
  <w:style w:type="character" w:customStyle="1" w:styleId="medfont">
    <w:name w:val="medfont"/>
    <w:basedOn w:val="a0"/>
    <w:rsid w:val="00155C9C"/>
  </w:style>
  <w:style w:type="character" w:customStyle="1" w:styleId="largefont">
    <w:name w:val="largefont"/>
    <w:basedOn w:val="a0"/>
    <w:rsid w:val="00155C9C"/>
  </w:style>
  <w:style w:type="character" w:customStyle="1" w:styleId="artprint">
    <w:name w:val="artprint"/>
    <w:basedOn w:val="a0"/>
    <w:rsid w:val="00155C9C"/>
  </w:style>
  <w:style w:type="character" w:styleId="a3">
    <w:name w:val="Hyperlink"/>
    <w:basedOn w:val="a0"/>
    <w:uiPriority w:val="99"/>
    <w:semiHidden/>
    <w:unhideWhenUsed/>
    <w:rsid w:val="00155C9C"/>
    <w:rPr>
      <w:color w:val="0000FF"/>
      <w:u w:val="single"/>
    </w:rPr>
  </w:style>
  <w:style w:type="character" w:customStyle="1" w:styleId="close">
    <w:name w:val="close"/>
    <w:basedOn w:val="a0"/>
    <w:rsid w:val="00155C9C"/>
  </w:style>
  <w:style w:type="paragraph" w:styleId="a4">
    <w:name w:val="Normal (Web)"/>
    <w:basedOn w:val="a"/>
    <w:uiPriority w:val="99"/>
    <w:semiHidden/>
    <w:unhideWhenUsed/>
    <w:rsid w:val="00155C9C"/>
    <w:pPr>
      <w:widowControl/>
      <w:spacing w:before="100" w:beforeAutospacing="1" w:after="100" w:afterAutospacing="1"/>
      <w:jc w:val="left"/>
    </w:pPr>
    <w:rPr>
      <w:rFonts w:ascii="宋体" w:eastAsia="宋体" w:hAnsi="宋体" w:cs="宋体"/>
      <w:kern w:val="0"/>
      <w:sz w:val="24"/>
      <w:szCs w:val="24"/>
    </w:rPr>
  </w:style>
  <w:style w:type="paragraph" w:customStyle="1" w:styleId="leaidx">
    <w:name w:val="leaidx"/>
    <w:basedOn w:val="a"/>
    <w:rsid w:val="00155C9C"/>
    <w:pPr>
      <w:widowControl/>
      <w:spacing w:before="100" w:beforeAutospacing="1" w:after="100" w:afterAutospacing="1"/>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155C9C"/>
  </w:style>
  <w:style w:type="character" w:customStyle="1" w:styleId="smallfont">
    <w:name w:val="smallfont"/>
    <w:basedOn w:val="a0"/>
    <w:rsid w:val="00155C9C"/>
  </w:style>
  <w:style w:type="character" w:customStyle="1" w:styleId="medfont">
    <w:name w:val="medfont"/>
    <w:basedOn w:val="a0"/>
    <w:rsid w:val="00155C9C"/>
  </w:style>
  <w:style w:type="character" w:customStyle="1" w:styleId="largefont">
    <w:name w:val="largefont"/>
    <w:basedOn w:val="a0"/>
    <w:rsid w:val="00155C9C"/>
  </w:style>
  <w:style w:type="character" w:customStyle="1" w:styleId="artprint">
    <w:name w:val="artprint"/>
    <w:basedOn w:val="a0"/>
    <w:rsid w:val="00155C9C"/>
  </w:style>
  <w:style w:type="character" w:styleId="a3">
    <w:name w:val="Hyperlink"/>
    <w:basedOn w:val="a0"/>
    <w:uiPriority w:val="99"/>
    <w:semiHidden/>
    <w:unhideWhenUsed/>
    <w:rsid w:val="00155C9C"/>
    <w:rPr>
      <w:color w:val="0000FF"/>
      <w:u w:val="single"/>
    </w:rPr>
  </w:style>
  <w:style w:type="character" w:customStyle="1" w:styleId="close">
    <w:name w:val="close"/>
    <w:basedOn w:val="a0"/>
    <w:rsid w:val="00155C9C"/>
  </w:style>
  <w:style w:type="paragraph" w:styleId="a4">
    <w:name w:val="Normal (Web)"/>
    <w:basedOn w:val="a"/>
    <w:uiPriority w:val="99"/>
    <w:semiHidden/>
    <w:unhideWhenUsed/>
    <w:rsid w:val="00155C9C"/>
    <w:pPr>
      <w:widowControl/>
      <w:spacing w:before="100" w:beforeAutospacing="1" w:after="100" w:afterAutospacing="1"/>
      <w:jc w:val="left"/>
    </w:pPr>
    <w:rPr>
      <w:rFonts w:ascii="宋体" w:eastAsia="宋体" w:hAnsi="宋体" w:cs="宋体"/>
      <w:kern w:val="0"/>
      <w:sz w:val="24"/>
      <w:szCs w:val="24"/>
    </w:rPr>
  </w:style>
  <w:style w:type="paragraph" w:customStyle="1" w:styleId="leaidx">
    <w:name w:val="leaidx"/>
    <w:basedOn w:val="a"/>
    <w:rsid w:val="00155C9C"/>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0850575">
      <w:bodyDiv w:val="1"/>
      <w:marLeft w:val="0"/>
      <w:marRight w:val="0"/>
      <w:marTop w:val="0"/>
      <w:marBottom w:val="0"/>
      <w:divBdr>
        <w:top w:val="none" w:sz="0" w:space="0" w:color="auto"/>
        <w:left w:val="none" w:sz="0" w:space="0" w:color="auto"/>
        <w:bottom w:val="none" w:sz="0" w:space="0" w:color="auto"/>
        <w:right w:val="none" w:sz="0" w:space="0" w:color="auto"/>
      </w:divBdr>
      <w:divsChild>
        <w:div w:id="2003123331">
          <w:marLeft w:val="0"/>
          <w:marRight w:val="0"/>
          <w:marTop w:val="120"/>
          <w:marBottom w:val="0"/>
          <w:divBdr>
            <w:top w:val="none" w:sz="0" w:space="0" w:color="auto"/>
            <w:left w:val="none" w:sz="0" w:space="0" w:color="auto"/>
            <w:bottom w:val="none" w:sz="0" w:space="0" w:color="auto"/>
            <w:right w:val="none" w:sz="0" w:space="0" w:color="auto"/>
          </w:divBdr>
        </w:div>
        <w:div w:id="306596170">
          <w:marLeft w:val="0"/>
          <w:marRight w:val="0"/>
          <w:marTop w:val="300"/>
          <w:marBottom w:val="0"/>
          <w:divBdr>
            <w:top w:val="none" w:sz="0" w:space="0" w:color="auto"/>
            <w:left w:val="none" w:sz="0" w:space="0" w:color="auto"/>
            <w:bottom w:val="single" w:sz="6" w:space="0" w:color="EEEEEE"/>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1249</Words>
  <Characters>1900</Characters>
  <Application>Microsoft Office Word</Application>
  <DocSecurity>0</DocSecurity>
  <Lines>271</Lines>
  <Paragraphs>286</Paragraphs>
  <ScaleCrop>false</ScaleCrop>
  <Company>微软中国</Company>
  <LinksUpToDate>false</LinksUpToDate>
  <CharactersWithSpaces>2863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微软用户</cp:lastModifiedBy>
  <cp:revision>1</cp:revision>
  <dcterms:created xsi:type="dcterms:W3CDTF">2019-08-15T08:44:00Z</dcterms:created>
  <dcterms:modified xsi:type="dcterms:W3CDTF">2019-08-15T08:45:00Z</dcterms:modified>
</cp:coreProperties>
</file>